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</w:rPr>
        <w:t>招标内容及要求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一、（根据本项目实际情况，填写“采购标的”或“项目概况”）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1、项目建设背景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随着信息社会的不断演进，互联网和政务融合的不断深化，福建省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民族与宗教事务厅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网站成为“互联网+政务”的重要支点与载体，也是政府在互联网上统一建立的信息公开、解读回应和互动交流的总平台。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虽然福建省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民族与宗教事务厅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站建设与管理工作取得了一定的成效，对标政府网站发展指引、国内领先政府网站和2021年福建省网站绩效考核指标，在对外服务个性化、服务模式创新、功能特色等方面还有较大差距，需要进一步改进和优化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委、省领导高度重视全省政府网站建设工作，多次召开专题会议，均对网站建设提出了高标准、高要求，要求提升政府网站集约化建设成效，增强政府网站权威性、公信力，打造具有福建特色，整体协同，全省统一、规范、权威、良好的网上政府形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国务院办公局关于印发政府网站发展指引的通知》相关要求：政府网站应根据拟发布的政策文件和解读材料，会同业务部门制作便于公众理解和互联网传播的解读产品，从公众生产生活实际需求出发，对政策文件及解读材料进行梳理、分类、提炼、精简，重新归纳组织，通过数字化、图表图解、音频、视频、动漫等形式予以展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为深入贯彻落实相关政策文件要求和专题会议精神，适应我省的政府网站绩效考核指标的要求，顺应“互联网+政务服务”发展趋势，提高政府网站的服务质量，福建省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民族与宗教事务厅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服务保障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项目建设亟待开展。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2、建设目标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通过本项目服务，提升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网站服务能力和服务质量，优化用户体验，将政府网站打造成更加及时的政务公开平台、更加便捷的公众服务平台。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3、项目建设内容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本次项目建的服务内容具体如下：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重点信息可视化服务。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国办及省政府办公局要求，本部门【含本部门起草，本级政府或本级政府办公局（室）发布】重要政策文件公开后3个工作日内发布解读材料（以图表或音视频等群众喜闻乐见的方式），详细介绍政策的背景依据、目标任务、主要内容和解决的问题等。网站需要从公众生产生活实际需求出发，选本单位重要文件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重要活动、政策文件解读、公报年报、政府访谈及专题会议等重点信息，对政策文件及解读材料进行梳理、分类、提炼、精简，重新归纳组织，通过数字化、图表图解等形式予以展现，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不超过10</w:t>
      </w:r>
      <w:r>
        <w:rPr>
          <w:rFonts w:hint="eastAsia" w:ascii="仿宋_GB2312" w:hAnsi="仿宋_GB2312" w:eastAsia="仿宋_GB2312" w:cs="仿宋_GB2312"/>
          <w:sz w:val="32"/>
          <w:szCs w:val="32"/>
        </w:rPr>
        <w:t>篇图解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网站内容保障建议服务。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需要根据年度全省政府网站绩效考核指标，由专业人员对网站进行人工浏览、分析，对网站内容保障情况提出针对性建议，每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提供1期建议报告，包含对考核指标的解析与更新度的建议，共提供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、商务条件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1、交付地点：福建省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民族与宗教事务厅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、交付条件：满足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文件要求且通过验收合格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、是否收取履约保证金：否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、是否邀请投标人参与验收：否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、验收方式数据表格</w:t>
      </w:r>
    </w:p>
    <w:tbl>
      <w:tblPr>
        <w:tblStyle w:val="7"/>
        <w:tblW w:w="829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6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Header/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验收期次</w:t>
            </w:r>
          </w:p>
        </w:tc>
        <w:tc>
          <w:tcPr>
            <w:tcW w:w="6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验收期次说明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按采购人需求验收合格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、支付方式数据表格</w:t>
      </w:r>
    </w:p>
    <w:tbl>
      <w:tblPr>
        <w:tblStyle w:val="7"/>
        <w:tblW w:w="829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58"/>
        <w:gridCol w:w="49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支付期次</w:t>
            </w:r>
          </w:p>
        </w:tc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支付比例(%)</w:t>
            </w:r>
          </w:p>
        </w:tc>
        <w:tc>
          <w:tcPr>
            <w:tcW w:w="4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支付期次说明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合同签订后，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个工作日内采购人以转账方式向中标人支付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%的合同总价款。(采购人向中标人支付每笔款项时，中标人均应向采购人提供由中标人开具的等额的税务正式发票。)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网站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且经过采购人确认后，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个工作日内采购人以转账方式向中标人支付合同总价的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0%。(采购人向中标人支付每笔款项时，中标人均应向采购人提供由中标人开具的等额的税务正式发票。)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outlineLvl w:val="9"/>
      </w:pP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F741E"/>
    <w:multiLevelType w:val="singleLevel"/>
    <w:tmpl w:val="620F741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451EE"/>
    <w:rsid w:val="2B0B515C"/>
    <w:rsid w:val="2CF26A47"/>
    <w:rsid w:val="3A4E6EA7"/>
    <w:rsid w:val="3CA232FB"/>
    <w:rsid w:val="3CB32D54"/>
    <w:rsid w:val="400224F5"/>
    <w:rsid w:val="43881165"/>
    <w:rsid w:val="477451EE"/>
    <w:rsid w:val="48C26CC5"/>
    <w:rsid w:val="4B00514D"/>
    <w:rsid w:val="4CF5019F"/>
    <w:rsid w:val="557A5EAB"/>
    <w:rsid w:val="59357523"/>
    <w:rsid w:val="64061D04"/>
    <w:rsid w:val="6F4A34E0"/>
    <w:rsid w:val="75271ADB"/>
    <w:rsid w:val="7B8F20A4"/>
    <w:rsid w:val="7CB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/>
    </w:pPr>
    <w:rPr>
      <w:rFonts w:ascii="Times New Roman" w:hAnsi="Times New Roman" w:eastAsia="仿宋_GB2312" w:cs="Times New Roman"/>
      <w:kern w:val="1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Body Text First Indent 2"/>
    <w:basedOn w:val="10"/>
    <w:qFormat/>
    <w:uiPriority w:val="0"/>
    <w:pPr>
      <w:ind w:firstLine="420"/>
    </w:pPr>
    <w:rPr>
      <w:rFonts w:ascii="Times New Roman" w:hAnsi="Times New Roman" w:eastAsia="仿宋_GB2312" w:cs="Times New Roman"/>
      <w:kern w:val="1"/>
      <w:sz w:val="32"/>
    </w:rPr>
  </w:style>
  <w:style w:type="paragraph" w:customStyle="1" w:styleId="10">
    <w:name w:val="Body text|1"/>
    <w:basedOn w:val="1"/>
    <w:qFormat/>
    <w:uiPriority w:val="0"/>
    <w:pPr>
      <w:spacing w:line="43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2022-02-18T10:04:00Z</dcterms:created>
  <dc:creator>帅</dc:creator>
  <cp:lastModifiedBy>卧龙山下修炼千年的胡萝贝精.</cp:lastModifiedBy>
  <dcterms:modified xsi:type="dcterms:W3CDTF">2022-02-22T03:01:31Z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624C331396024DAAA9C274885F6F4DB4</vt:lpwstr>
  </property>
</Properties>
</file>